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159"/>
        <w:gridCol w:w="1430"/>
        <w:gridCol w:w="4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四川省文化和旅游信息中心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公益一类事业单位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成都市锦江区青莲上街2号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负责四川省文化旅游信息的收集、传送和咨询服务；全省文化旅游数据平台建设、旅游数据统计研究发布等职责。同时，承担全省文化和旅游信息化建设及全省文化和旅游网络营销工作。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四川省艺术研究院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全额拨款事业单位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0"/>
                <w:kern w:val="0"/>
                <w:sz w:val="22"/>
                <w:szCs w:val="22"/>
                <w:lang w:val="en-US" w:eastAsia="zh-CN" w:bidi="ar"/>
              </w:rPr>
              <w:t>成都市武侯区洗面桥街11号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负责开展具有地方特色的戏剧、音乐、舞蹈、曲艺、杂技、木偶、美术等研究；开展文艺理论、文艺评论和文艺比较研究；开展四川民族民间文化艺术的历史、现状和发展趋势的研究；开展各类艺术资料的收集、整理、保护、开发、利用和对外文化艺术交流的活动；负责编辑《四川戏剧》期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四川艺术职业学院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成都市温江区星艺大道366号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负责开展文化艺术类别高职教育工作。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四川省旅游学校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公益二类事业单位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成都市双流区黄龙大道2681号</w:t>
            </w:r>
          </w:p>
        </w:tc>
        <w:tc>
          <w:tcPr>
            <w:tcW w:w="4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负责（从事）旅游行业专业人员培养，承担旅游行业在职服务人员、管理人员岗位培训和导游人员资格培训。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0319D"/>
    <w:rsid w:val="3D3C2937"/>
    <w:rsid w:val="48D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2020-05-07T08:58:00Z</dcterms:created>
  <dc:creator>Administrator</dc:creator>
  <cp:lastModifiedBy>Administrator</cp:lastModifiedBy>
  <dcterms:modified xsi:type="dcterms:W3CDTF">2020-05-07T09:13:33Z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