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420"/>
        <w:jc w:val="both"/>
        <w:rPr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1757"/>
        <w:jc w:val="center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420"/>
        <w:jc w:val="center"/>
        <w:rPr>
          <w:sz w:val="24"/>
          <w:szCs w:val="24"/>
        </w:rPr>
      </w:pPr>
      <w:r>
        <w:rPr>
          <w:rFonts w:ascii="serif" w:hAnsi="serif" w:eastAsia="serif" w:cs="serif"/>
          <w:i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2020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年枣庄高新区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42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第二批青年人才优选专业分类目录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left"/>
        <w:rPr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   一、硕士需符合以下一级学科专业要求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420"/>
        <w:jc w:val="both"/>
        <w:rPr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理论经济学、应用经济学、法学、机械工程、光学工程、仪器科学与技术、材料科学与工程、动力工程及工程热物理、电子科学与技术、信息与通信工程、控制科学与工程、计算机科学与技术、化学工程与技术、生物医学工程、软件工程、工商管理、兽医学（基础兽医学、预防兽医、临床兽医学方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420"/>
        <w:rPr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二、本科生需符合以下一级学科专业要求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  经济学类、财政学类、金融学类、经济与贸易类、法学类、机械类、仪器类、能源动力类、电气类、电子信息类、自动化类、计算机类、化工与制药类、生物医学工程类、建筑类、工商管理类、工业工程类、电子商务类,动物医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238D1"/>
    <w:rsid w:val="4C82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2020-11-21T00:44:00Z</dcterms:created>
  <dc:creator>枣庄公考小助手</dc:creator>
  <cp:lastModifiedBy>枣庄公考小助手</cp:lastModifiedBy>
  <dcterms:modified xsi:type="dcterms:W3CDTF">2020-11-21T00:45:26Z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